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Ind w:w="-601" w:type="dxa"/>
        <w:tblLook w:val="01E0" w:firstRow="1" w:lastRow="1" w:firstColumn="1" w:lastColumn="1" w:noHBand="0" w:noVBand="0"/>
      </w:tblPr>
      <w:tblGrid>
        <w:gridCol w:w="3261"/>
        <w:gridCol w:w="2977"/>
        <w:gridCol w:w="3827"/>
      </w:tblGrid>
      <w:tr w:rsidR="00836EF2" w:rsidRPr="0070067C" w:rsidTr="00A06CB2">
        <w:trPr>
          <w:trHeight w:val="1275"/>
        </w:trPr>
        <w:tc>
          <w:tcPr>
            <w:tcW w:w="3261" w:type="dxa"/>
            <w:shd w:val="clear" w:color="auto" w:fill="auto"/>
          </w:tcPr>
          <w:p w:rsidR="00836EF2" w:rsidRPr="0070067C" w:rsidRDefault="00836EF2" w:rsidP="00C567FE">
            <w:pPr>
              <w:jc w:val="center"/>
              <w:rPr>
                <w:b/>
              </w:rPr>
            </w:pPr>
            <w:r>
              <w:rPr>
                <w:rFonts w:ascii="Verdana" w:hAnsi="Verdana"/>
                <w:noProof/>
                <w:sz w:val="17"/>
                <w:szCs w:val="17"/>
              </w:rPr>
              <w:drawing>
                <wp:inline distT="0" distB="0" distL="0" distR="0" wp14:anchorId="627BA079" wp14:editId="3BC8350C">
                  <wp:extent cx="1704975" cy="876300"/>
                  <wp:effectExtent l="0" t="0" r="9525" b="0"/>
                  <wp:docPr id="2" name="Picture 2" descr="Description: http://www.viaa.gov.lv/images/news/66/4766/txt_20_4773_muzizglitibas_logo_lv_maz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http://www.viaa.gov.lv/images/news/66/4766/txt_20_4773_muzizglitibas_logo_lv_maz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97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shd w:val="clear" w:color="auto" w:fill="auto"/>
          </w:tcPr>
          <w:p w:rsidR="00836EF2" w:rsidRPr="00045023" w:rsidRDefault="00836EF2" w:rsidP="00C567FE">
            <w:pPr>
              <w:autoSpaceDE w:val="0"/>
              <w:autoSpaceDN w:val="0"/>
              <w:adjustRightInd w:val="0"/>
              <w:rPr>
                <w:rFonts w:ascii="Arial Narrow" w:cs="Arial Narrow"/>
                <w:b/>
                <w:bCs/>
                <w:color w:val="000099"/>
                <w:sz w:val="68"/>
                <w:szCs w:val="72"/>
                <w:u w:val="single"/>
              </w:rPr>
            </w:pPr>
            <w:r w:rsidRPr="00045023">
              <w:rPr>
                <w:rFonts w:ascii="Arial Narrow" w:cs="Arial Narrow"/>
                <w:b/>
                <w:bCs/>
                <w:color w:val="003300"/>
                <w:sz w:val="68"/>
                <w:szCs w:val="72"/>
                <w:u w:val="single"/>
              </w:rPr>
              <w:t>F</w:t>
            </w:r>
            <w:r w:rsidRPr="00045023">
              <w:rPr>
                <w:rFonts w:ascii="Arial Narrow" w:cs="Arial Narrow"/>
                <w:b/>
                <w:bCs/>
                <w:color w:val="CC6600"/>
                <w:sz w:val="68"/>
                <w:szCs w:val="72"/>
                <w:u w:val="single"/>
              </w:rPr>
              <w:t>O</w:t>
            </w:r>
            <w:r w:rsidRPr="00045023">
              <w:rPr>
                <w:rFonts w:ascii="Arial Narrow" w:cs="Arial Narrow"/>
                <w:b/>
                <w:bCs/>
                <w:color w:val="CC9900"/>
                <w:sz w:val="68"/>
                <w:szCs w:val="72"/>
                <w:u w:val="single"/>
              </w:rPr>
              <w:t>R</w:t>
            </w:r>
            <w:r w:rsidRPr="00045023">
              <w:rPr>
                <w:rFonts w:ascii="Arial Narrow" w:cs="Arial Narrow"/>
                <w:b/>
                <w:bCs/>
                <w:color w:val="006699"/>
                <w:sz w:val="68"/>
                <w:szCs w:val="72"/>
                <w:u w:val="single"/>
              </w:rPr>
              <w:t>C</w:t>
            </w:r>
            <w:r w:rsidRPr="00045023">
              <w:rPr>
                <w:rFonts w:ascii="Arial Narrow" w:cs="Arial Narrow"/>
                <w:b/>
                <w:bCs/>
                <w:color w:val="808000"/>
                <w:sz w:val="68"/>
                <w:szCs w:val="72"/>
                <w:u w:val="single"/>
              </w:rPr>
              <w:t>A</w:t>
            </w:r>
            <w:r w:rsidRPr="00045023">
              <w:rPr>
                <w:rFonts w:ascii="Arial Narrow" w:cs="Arial Narrow"/>
                <w:b/>
                <w:bCs/>
                <w:color w:val="990033"/>
                <w:sz w:val="68"/>
                <w:szCs w:val="72"/>
                <w:u w:val="single"/>
              </w:rPr>
              <w:t>V</w:t>
            </w:r>
            <w:r w:rsidRPr="00045023">
              <w:rPr>
                <w:rFonts w:ascii="Arial Narrow" w:cs="Arial Narrow"/>
                <w:b/>
                <w:bCs/>
                <w:color w:val="003399"/>
                <w:sz w:val="68"/>
                <w:szCs w:val="72"/>
                <w:u w:val="single"/>
              </w:rPr>
              <w:t>I</w:t>
            </w:r>
            <w:r w:rsidRPr="00045023">
              <w:rPr>
                <w:rFonts w:ascii="Arial Narrow" w:cs="Arial Narrow"/>
                <w:b/>
                <w:bCs/>
                <w:color w:val="000099"/>
                <w:sz w:val="68"/>
                <w:szCs w:val="72"/>
                <w:u w:val="single"/>
              </w:rPr>
              <w:t xml:space="preserve"> </w:t>
            </w:r>
          </w:p>
          <w:p w:rsidR="00836EF2" w:rsidRDefault="00836EF2" w:rsidP="00C567FE">
            <w:pPr>
              <w:autoSpaceDE w:val="0"/>
              <w:autoSpaceDN w:val="0"/>
              <w:adjustRightInd w:val="0"/>
              <w:rPr>
                <w:rFonts w:ascii="Arial Narrow" w:cs="Arial Narrow"/>
                <w:b/>
                <w:bCs/>
                <w:color w:val="292929"/>
                <w:sz w:val="32"/>
                <w:szCs w:val="32"/>
              </w:rPr>
            </w:pPr>
            <w:r>
              <w:rPr>
                <w:rFonts w:ascii="Arial Narrow" w:cs="Arial Narrow"/>
                <w:b/>
                <w:bCs/>
                <w:color w:val="292929"/>
                <w:sz w:val="32"/>
                <w:szCs w:val="32"/>
              </w:rPr>
              <w:t xml:space="preserve">Project </w:t>
            </w:r>
          </w:p>
          <w:p w:rsidR="00836EF2" w:rsidRDefault="00836EF2" w:rsidP="00C567FE"/>
        </w:tc>
        <w:tc>
          <w:tcPr>
            <w:tcW w:w="3827" w:type="dxa"/>
            <w:shd w:val="clear" w:color="auto" w:fill="auto"/>
          </w:tcPr>
          <w:p w:rsidR="00836EF2" w:rsidRDefault="00836EF2" w:rsidP="00C567FE">
            <w:pPr>
              <w:ind w:hanging="180"/>
              <w:jc w:val="center"/>
            </w:pPr>
          </w:p>
          <w:p w:rsidR="00836EF2" w:rsidRPr="0070067C" w:rsidRDefault="00A06CB2" w:rsidP="00C567FE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0AA7E734" wp14:editId="665D6132">
                  <wp:simplePos x="0" y="0"/>
                  <wp:positionH relativeFrom="column">
                    <wp:posOffset>214630</wp:posOffset>
                  </wp:positionH>
                  <wp:positionV relativeFrom="paragraph">
                    <wp:posOffset>26035</wp:posOffset>
                  </wp:positionV>
                  <wp:extent cx="2082165" cy="619760"/>
                  <wp:effectExtent l="0" t="0" r="0" b="8890"/>
                  <wp:wrapNone/>
                  <wp:docPr id="3" name="Picture 3" descr="siva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iva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2165" cy="619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836EF2" w:rsidRDefault="00836EF2" w:rsidP="00836EF2">
      <w:pPr>
        <w:jc w:val="center"/>
      </w:pPr>
    </w:p>
    <w:p w:rsidR="00836EF2" w:rsidRPr="001963F9" w:rsidRDefault="00836EF2" w:rsidP="00836EF2">
      <w:pPr>
        <w:jc w:val="center"/>
        <w:rPr>
          <w:b/>
        </w:rPr>
      </w:pPr>
      <w:r>
        <w:rPr>
          <w:b/>
        </w:rPr>
        <w:t xml:space="preserve">ES </w:t>
      </w:r>
      <w:r w:rsidRPr="001963F9">
        <w:rPr>
          <w:b/>
        </w:rPr>
        <w:t>M</w:t>
      </w:r>
      <w:r>
        <w:rPr>
          <w:b/>
        </w:rPr>
        <w:t xml:space="preserve">ūžizglītības programmas </w:t>
      </w:r>
      <w:proofErr w:type="spellStart"/>
      <w:r>
        <w:rPr>
          <w:b/>
        </w:rPr>
        <w:t>Leonard</w:t>
      </w:r>
      <w:r w:rsidRPr="001963F9">
        <w:rPr>
          <w:b/>
        </w:rPr>
        <w:t>o</w:t>
      </w:r>
      <w:proofErr w:type="spellEnd"/>
      <w:r>
        <w:rPr>
          <w:b/>
        </w:rPr>
        <w:t xml:space="preserve"> </w:t>
      </w:r>
      <w:proofErr w:type="spellStart"/>
      <w:r w:rsidRPr="001963F9">
        <w:rPr>
          <w:b/>
        </w:rPr>
        <w:t>da</w:t>
      </w:r>
      <w:proofErr w:type="spellEnd"/>
      <w:r w:rsidRPr="001963F9">
        <w:rPr>
          <w:b/>
        </w:rPr>
        <w:t xml:space="preserve"> </w:t>
      </w:r>
      <w:proofErr w:type="spellStart"/>
      <w:r w:rsidRPr="001963F9">
        <w:rPr>
          <w:b/>
        </w:rPr>
        <w:t>Vinci</w:t>
      </w:r>
      <w:proofErr w:type="spellEnd"/>
      <w:r w:rsidRPr="001963F9">
        <w:rPr>
          <w:b/>
        </w:rPr>
        <w:t xml:space="preserve"> apakšprogrammas </w:t>
      </w:r>
    </w:p>
    <w:p w:rsidR="00836EF2" w:rsidRPr="001963F9" w:rsidRDefault="00836EF2" w:rsidP="00836EF2">
      <w:pPr>
        <w:jc w:val="center"/>
        <w:rPr>
          <w:b/>
        </w:rPr>
      </w:pPr>
      <w:r w:rsidRPr="001963F9">
        <w:rPr>
          <w:b/>
        </w:rPr>
        <w:t>inovāciju pārneses projekts „FORCAVI”</w:t>
      </w:r>
    </w:p>
    <w:p w:rsidR="00836EF2" w:rsidRDefault="00836EF2" w:rsidP="00836EF2">
      <w:pPr>
        <w:jc w:val="center"/>
        <w:rPr>
          <w:b/>
        </w:rPr>
      </w:pPr>
      <w:r>
        <w:rPr>
          <w:b/>
        </w:rPr>
        <w:t>(</w:t>
      </w:r>
      <w:proofErr w:type="spellStart"/>
      <w:r>
        <w:rPr>
          <w:b/>
        </w:rPr>
        <w:t>Formacion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para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Calidad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de</w:t>
      </w:r>
      <w:proofErr w:type="spellEnd"/>
      <w:r>
        <w:rPr>
          <w:b/>
        </w:rPr>
        <w:t xml:space="preserve"> Vida)</w:t>
      </w:r>
    </w:p>
    <w:p w:rsidR="00836EF2" w:rsidRPr="001963F9" w:rsidRDefault="00836EF2" w:rsidP="00836EF2">
      <w:pPr>
        <w:jc w:val="center"/>
        <w:rPr>
          <w:b/>
        </w:rPr>
      </w:pPr>
      <w:r w:rsidRPr="00745796">
        <w:rPr>
          <w:b/>
          <w:sz w:val="20"/>
        </w:rPr>
        <w:t>Pro</w:t>
      </w:r>
      <w:r>
        <w:rPr>
          <w:b/>
          <w:sz w:val="20"/>
        </w:rPr>
        <w:t xml:space="preserve">jekta </w:t>
      </w:r>
      <w:proofErr w:type="spellStart"/>
      <w:r>
        <w:rPr>
          <w:b/>
          <w:sz w:val="20"/>
        </w:rPr>
        <w:t>N</w:t>
      </w:r>
      <w:r w:rsidRPr="00745796">
        <w:rPr>
          <w:b/>
          <w:sz w:val="20"/>
        </w:rPr>
        <w:t>r</w:t>
      </w:r>
      <w:proofErr w:type="spellEnd"/>
      <w:r w:rsidRPr="00745796">
        <w:rPr>
          <w:b/>
          <w:sz w:val="20"/>
        </w:rPr>
        <w:t>. 2012-1-ES1-LEO05-50612</w:t>
      </w:r>
    </w:p>
    <w:p w:rsidR="00836EF2" w:rsidRDefault="00836EF2" w:rsidP="00836EF2">
      <w:pPr>
        <w:ind w:firstLine="567"/>
        <w:jc w:val="center"/>
      </w:pPr>
    </w:p>
    <w:p w:rsidR="00836EF2" w:rsidRPr="003E5107" w:rsidRDefault="00836EF2" w:rsidP="00836EF2">
      <w:pPr>
        <w:jc w:val="both"/>
      </w:pPr>
      <w:r w:rsidRPr="003E5107">
        <w:rPr>
          <w:b/>
        </w:rPr>
        <w:t>Projektu īsteno</w:t>
      </w:r>
      <w:r w:rsidRPr="003E5107">
        <w:t>: Sociālās integrācijas valsts aģentūra (SIVA)</w:t>
      </w:r>
    </w:p>
    <w:p w:rsidR="00836EF2" w:rsidRPr="003E5107" w:rsidRDefault="00836EF2" w:rsidP="00836EF2">
      <w:pPr>
        <w:jc w:val="both"/>
      </w:pPr>
      <w:r w:rsidRPr="003E5107">
        <w:rPr>
          <w:b/>
        </w:rPr>
        <w:t>Projekta finansējums</w:t>
      </w:r>
      <w:r w:rsidRPr="003E5107">
        <w:t>: 25 496 EUR (17 975 EUR EK piešķirtie finanšu līdzekļi un 7 521 EUR SIVA līdzfinansējums)</w:t>
      </w:r>
    </w:p>
    <w:p w:rsidR="00836EF2" w:rsidRPr="003E5107" w:rsidRDefault="00836EF2" w:rsidP="00836EF2">
      <w:pPr>
        <w:jc w:val="both"/>
      </w:pPr>
      <w:r w:rsidRPr="003E5107">
        <w:rPr>
          <w:b/>
        </w:rPr>
        <w:t>Projekta īstenošanas laiks</w:t>
      </w:r>
      <w:r w:rsidRPr="003E5107">
        <w:t xml:space="preserve">: 2012. gada 1. oktobris – 2014. gada 30. </w:t>
      </w:r>
      <w:r w:rsidR="00480D8A">
        <w:t>novembris</w:t>
      </w:r>
    </w:p>
    <w:p w:rsidR="00836EF2" w:rsidRPr="003E5107" w:rsidRDefault="00836EF2" w:rsidP="00836EF2">
      <w:pPr>
        <w:jc w:val="both"/>
        <w:rPr>
          <w:b/>
        </w:rPr>
      </w:pPr>
      <w:r w:rsidRPr="003E5107">
        <w:rPr>
          <w:b/>
        </w:rPr>
        <w:t>Projekta</w:t>
      </w:r>
      <w:r w:rsidRPr="003E5107">
        <w:t xml:space="preserve"> </w:t>
      </w:r>
      <w:r w:rsidRPr="003E5107">
        <w:rPr>
          <w:b/>
        </w:rPr>
        <w:t>partneri</w:t>
      </w:r>
      <w:r w:rsidRPr="003E5107">
        <w:t>: AFANIAS (Spānija)</w:t>
      </w:r>
      <w:r w:rsidR="00073EC4">
        <w:t xml:space="preserve">,  </w:t>
      </w:r>
      <w:proofErr w:type="spellStart"/>
      <w:r w:rsidRPr="003E5107">
        <w:t>Hand</w:t>
      </w:r>
      <w:proofErr w:type="spellEnd"/>
      <w:r w:rsidRPr="003E5107">
        <w:t xml:space="preserve"> </w:t>
      </w:r>
      <w:proofErr w:type="spellStart"/>
      <w:r w:rsidRPr="003E5107">
        <w:t>in</w:t>
      </w:r>
      <w:proofErr w:type="spellEnd"/>
      <w:r w:rsidRPr="003E5107">
        <w:t xml:space="preserve"> </w:t>
      </w:r>
      <w:proofErr w:type="spellStart"/>
      <w:r w:rsidRPr="003E5107">
        <w:t>Hand</w:t>
      </w:r>
      <w:proofErr w:type="spellEnd"/>
      <w:r w:rsidRPr="003E5107">
        <w:t xml:space="preserve"> (Ungārija)</w:t>
      </w:r>
      <w:r w:rsidR="00073EC4">
        <w:t xml:space="preserve">,  </w:t>
      </w:r>
      <w:proofErr w:type="spellStart"/>
      <w:r w:rsidR="00073EC4">
        <w:t>Artha</w:t>
      </w:r>
      <w:proofErr w:type="spellEnd"/>
      <w:r w:rsidR="00073EC4">
        <w:t xml:space="preserve"> SRL (Itālija), </w:t>
      </w:r>
      <w:r w:rsidR="003E5107">
        <w:t xml:space="preserve">SIVA (Latvija) </w:t>
      </w:r>
    </w:p>
    <w:p w:rsidR="00836EF2" w:rsidRPr="003E5107" w:rsidRDefault="00836EF2" w:rsidP="00836EF2">
      <w:pPr>
        <w:jc w:val="both"/>
      </w:pPr>
      <w:r w:rsidRPr="003E5107">
        <w:rPr>
          <w:b/>
        </w:rPr>
        <w:t>Projekta mērķa grupa</w:t>
      </w:r>
      <w:r w:rsidRPr="003E5107">
        <w:t xml:space="preserve">: </w:t>
      </w:r>
    </w:p>
    <w:p w:rsidR="00836EF2" w:rsidRPr="003E5107" w:rsidRDefault="00836EF2" w:rsidP="00836EF2">
      <w:pPr>
        <w:jc w:val="both"/>
      </w:pPr>
      <w:r w:rsidRPr="003E5107">
        <w:rPr>
          <w:i/>
        </w:rPr>
        <w:t>Tiešā mērķa grupa</w:t>
      </w:r>
      <w:r w:rsidRPr="003E5107">
        <w:t>: speciālisti, kur</w:t>
      </w:r>
      <w:r w:rsidR="00073EC4">
        <w:t>i</w:t>
      </w:r>
      <w:r w:rsidRPr="003E5107">
        <w:t xml:space="preserve"> strādā ar sociālās atstumtības riskam pakļautiem cilvēkiem un  cilvēkiem ar garīga rakstura traucējumiem, kuriem ir noteikta invaliditāte.</w:t>
      </w:r>
    </w:p>
    <w:p w:rsidR="00836EF2" w:rsidRPr="003E5107" w:rsidRDefault="00836EF2" w:rsidP="00836EF2">
      <w:pPr>
        <w:jc w:val="both"/>
      </w:pPr>
      <w:r w:rsidRPr="003E5107">
        <w:rPr>
          <w:i/>
        </w:rPr>
        <w:t>Netiešā mērķa grupa</w:t>
      </w:r>
      <w:r w:rsidRPr="003E5107">
        <w:t>: sociālās atstumtības riskam pakļauti cilvēki un  cilvēki ar garīga rakstura traucējumiem, kuriem ir noteikta invaliditāte.</w:t>
      </w:r>
    </w:p>
    <w:p w:rsidR="00836EF2" w:rsidRPr="003E5107" w:rsidRDefault="00836EF2" w:rsidP="00836EF2">
      <w:pPr>
        <w:jc w:val="both"/>
        <w:rPr>
          <w:b/>
        </w:rPr>
      </w:pPr>
      <w:r w:rsidRPr="003E5107">
        <w:rPr>
          <w:b/>
        </w:rPr>
        <w:t xml:space="preserve">Aktualitātes: </w:t>
      </w:r>
    </w:p>
    <w:p w:rsidR="00480D8A" w:rsidRDefault="00373265" w:rsidP="00480D8A">
      <w:pPr>
        <w:jc w:val="both"/>
        <w:rPr>
          <w:color w:val="000000"/>
        </w:rPr>
      </w:pPr>
      <w:r>
        <w:rPr>
          <w:color w:val="000000"/>
        </w:rPr>
        <w:t xml:space="preserve">2014.gada 20.novembrī notikušās </w:t>
      </w:r>
      <w:r w:rsidR="00480D8A" w:rsidRPr="00480D8A">
        <w:rPr>
          <w:color w:val="000000"/>
        </w:rPr>
        <w:t>Baltijas jūras reģiona konferenc</w:t>
      </w:r>
      <w:r w:rsidR="00480D8A">
        <w:rPr>
          <w:color w:val="000000"/>
        </w:rPr>
        <w:t>es</w:t>
      </w:r>
      <w:r w:rsidR="00480D8A" w:rsidRPr="00480D8A">
        <w:rPr>
          <w:color w:val="000000"/>
        </w:rPr>
        <w:t xml:space="preserve"> „Profesionālā rehabilitā</w:t>
      </w:r>
      <w:r w:rsidR="00480D8A">
        <w:rPr>
          <w:color w:val="000000"/>
        </w:rPr>
        <w:t>cija cilvēkiem ar invaliditāti. S</w:t>
      </w:r>
      <w:r w:rsidR="00480D8A" w:rsidRPr="00480D8A">
        <w:rPr>
          <w:color w:val="000000"/>
        </w:rPr>
        <w:t>tratēģiskais virziens”</w:t>
      </w:r>
      <w:r w:rsidR="00480D8A">
        <w:rPr>
          <w:color w:val="000000"/>
        </w:rPr>
        <w:t xml:space="preserve"> </w:t>
      </w:r>
      <w:r w:rsidR="00480D8A" w:rsidRPr="005876DF">
        <w:rPr>
          <w:color w:val="000000"/>
        </w:rPr>
        <w:t>ietvaros</w:t>
      </w:r>
      <w:r w:rsidR="00480D8A">
        <w:rPr>
          <w:color w:val="000000"/>
        </w:rPr>
        <w:t xml:space="preserve"> FORCAVI</w:t>
      </w:r>
      <w:r w:rsidR="00480D8A" w:rsidRPr="005876DF">
        <w:rPr>
          <w:color w:val="000000"/>
        </w:rPr>
        <w:t xml:space="preserve"> projekta darba grupas dalībnieces Indra Urdziņa-</w:t>
      </w:r>
      <w:proofErr w:type="spellStart"/>
      <w:r w:rsidR="00480D8A" w:rsidRPr="005876DF">
        <w:rPr>
          <w:color w:val="000000"/>
        </w:rPr>
        <w:t>Merca</w:t>
      </w:r>
      <w:proofErr w:type="spellEnd"/>
      <w:r w:rsidR="00480D8A" w:rsidRPr="005876DF">
        <w:rPr>
          <w:color w:val="000000"/>
        </w:rPr>
        <w:t xml:space="preserve"> un Santa Kundziņa kopā ar Jūrmalas profesionālās vidusskolas audzē</w:t>
      </w:r>
      <w:bookmarkStart w:id="0" w:name="_GoBack"/>
      <w:bookmarkEnd w:id="0"/>
      <w:r w:rsidR="00480D8A" w:rsidRPr="005876DF">
        <w:rPr>
          <w:color w:val="000000"/>
        </w:rPr>
        <w:t>kņiem prezentēja projekta ietvaros paveikt</w:t>
      </w:r>
      <w:r w:rsidR="00480D8A">
        <w:rPr>
          <w:color w:val="000000"/>
        </w:rPr>
        <w:t>o</w:t>
      </w:r>
      <w:r w:rsidR="00480D8A" w:rsidRPr="005876DF">
        <w:rPr>
          <w:color w:val="000000"/>
        </w:rPr>
        <w:t xml:space="preserve"> un </w:t>
      </w:r>
      <w:r w:rsidR="00480D8A">
        <w:rPr>
          <w:color w:val="000000"/>
        </w:rPr>
        <w:t>demonstrēja</w:t>
      </w:r>
      <w:r w:rsidR="00480D8A" w:rsidRPr="005876DF">
        <w:rPr>
          <w:color w:val="000000"/>
        </w:rPr>
        <w:t> inovāciju –</w:t>
      </w:r>
      <w:r w:rsidR="00480D8A">
        <w:rPr>
          <w:color w:val="000000"/>
        </w:rPr>
        <w:t xml:space="preserve"> </w:t>
      </w:r>
      <w:r w:rsidR="00480D8A" w:rsidRPr="005876DF">
        <w:rPr>
          <w:color w:val="000000"/>
        </w:rPr>
        <w:t xml:space="preserve">ka personas ar intelektuālās attīstības traucējumiem spēj apmācīt citas personas, kā arī diskutēt par dzīves kvalitāti un tās dimensijām. </w:t>
      </w:r>
      <w:r w:rsidR="00480D8A">
        <w:rPr>
          <w:color w:val="000000"/>
        </w:rPr>
        <w:t>Prezentējot projektu, tika izmantoti</w:t>
      </w:r>
      <w:r w:rsidR="00480D8A" w:rsidRPr="0005413A">
        <w:rPr>
          <w:color w:val="000000"/>
        </w:rPr>
        <w:t xml:space="preserve"> </w:t>
      </w:r>
      <w:r w:rsidR="00480D8A">
        <w:rPr>
          <w:color w:val="000000"/>
        </w:rPr>
        <w:t>tā vadošā partnera AFANIAS (Spānija) izstrādātās prezentācijas moduļa „Dzīves kvalitāte” slaidi, kā arī AFANIAS piedāvātā Dzīves kvalitātes grupēšana dimensijās.</w:t>
      </w:r>
    </w:p>
    <w:p w:rsidR="00E92248" w:rsidRDefault="00E92248" w:rsidP="00836EF2">
      <w:pPr>
        <w:jc w:val="both"/>
      </w:pPr>
    </w:p>
    <w:tbl>
      <w:tblPr>
        <w:tblStyle w:val="TableGrid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261"/>
        <w:gridCol w:w="3402"/>
        <w:gridCol w:w="3543"/>
      </w:tblGrid>
      <w:tr w:rsidR="00277A2B" w:rsidTr="00480D8A">
        <w:trPr>
          <w:trHeight w:val="2634"/>
        </w:trPr>
        <w:tc>
          <w:tcPr>
            <w:tcW w:w="3261" w:type="dxa"/>
          </w:tcPr>
          <w:p w:rsidR="00480D8A" w:rsidRDefault="00480D8A" w:rsidP="00480D8A">
            <w:pPr>
              <w:jc w:val="center"/>
              <w:rPr>
                <w:b/>
                <w:noProof/>
                <w:sz w:val="28"/>
                <w:szCs w:val="28"/>
              </w:rPr>
            </w:pPr>
          </w:p>
          <w:p w:rsidR="00073EC4" w:rsidRDefault="00480D8A" w:rsidP="00480D8A">
            <w:pPr>
              <w:jc w:val="center"/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 wp14:anchorId="0A65BC14" wp14:editId="7BECF812">
                  <wp:extent cx="1871331" cy="1247554"/>
                  <wp:effectExtent l="0" t="0" r="0" b="0"/>
                  <wp:docPr id="7" name="Picture 7" descr="I:\FORCAVI\FORCAVI\IMG_0353 horizon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:\FORCAVI\FORCAVI\IMG_0353 horizon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1017" cy="1247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:rsidR="00073EC4" w:rsidRDefault="00073EC4" w:rsidP="00836EF2"/>
          <w:p w:rsidR="00277A2B" w:rsidRDefault="00480D8A" w:rsidP="00480D8A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CF5BC34" wp14:editId="0A4205DD">
                  <wp:extent cx="1956390" cy="1302437"/>
                  <wp:effectExtent l="0" t="0" r="6350" b="0"/>
                  <wp:docPr id="6" name="Picture 6" descr="IMG_03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G_03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8895" cy="1304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</w:tcPr>
          <w:p w:rsidR="00073EC4" w:rsidRDefault="00073EC4" w:rsidP="00836EF2"/>
          <w:p w:rsidR="00277A2B" w:rsidRDefault="00480D8A" w:rsidP="00480D8A">
            <w:pPr>
              <w:jc w:val="center"/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 wp14:anchorId="21E7A323" wp14:editId="4E6A43DD">
                  <wp:extent cx="1988288" cy="1328614"/>
                  <wp:effectExtent l="0" t="0" r="0" b="5080"/>
                  <wp:docPr id="8" name="Picture 8" descr="IMG_03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G_03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8544" cy="1328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6BCA" w:rsidTr="00F329F7">
        <w:trPr>
          <w:trHeight w:val="699"/>
        </w:trPr>
        <w:tc>
          <w:tcPr>
            <w:tcW w:w="3261" w:type="dxa"/>
          </w:tcPr>
          <w:p w:rsidR="009E05DA" w:rsidRPr="00435E74" w:rsidRDefault="009E05DA" w:rsidP="008E1FDC">
            <w:pPr>
              <w:jc w:val="center"/>
              <w:rPr>
                <w:sz w:val="22"/>
                <w:szCs w:val="22"/>
              </w:rPr>
            </w:pPr>
          </w:p>
          <w:p w:rsidR="00480D8A" w:rsidRDefault="00480D8A" w:rsidP="00480D8A">
            <w:pPr>
              <w:jc w:val="center"/>
              <w:rPr>
                <w:color w:val="000000"/>
              </w:rPr>
            </w:pPr>
            <w:r w:rsidRPr="005876DF">
              <w:rPr>
                <w:color w:val="000000"/>
              </w:rPr>
              <w:t>Jūrmalas profesionālās vidusskolas audzēkņi</w:t>
            </w:r>
            <w:r>
              <w:rPr>
                <w:color w:val="000000"/>
              </w:rPr>
              <w:t xml:space="preserve"> un darba grupas dalībnieces grupē dzīves kvalitātes dimensijas</w:t>
            </w:r>
          </w:p>
          <w:p w:rsidR="00480D8A" w:rsidRPr="00480D8A" w:rsidRDefault="00480D8A" w:rsidP="00480D8A">
            <w:pPr>
              <w:jc w:val="center"/>
              <w:rPr>
                <w:color w:val="000000"/>
              </w:rPr>
            </w:pPr>
          </w:p>
        </w:tc>
        <w:tc>
          <w:tcPr>
            <w:tcW w:w="3402" w:type="dxa"/>
          </w:tcPr>
          <w:p w:rsidR="00480D8A" w:rsidRDefault="00480D8A" w:rsidP="00480D8A">
            <w:pPr>
              <w:jc w:val="center"/>
              <w:rPr>
                <w:color w:val="000000"/>
              </w:rPr>
            </w:pPr>
          </w:p>
          <w:p w:rsidR="00F329F7" w:rsidRDefault="00480D8A" w:rsidP="00480D8A">
            <w:pPr>
              <w:jc w:val="center"/>
            </w:pPr>
            <w:r w:rsidRPr="005876DF">
              <w:rPr>
                <w:color w:val="000000"/>
              </w:rPr>
              <w:t>Jūrmalas profesionālās vidusskolas audzēkņi</w:t>
            </w:r>
            <w:r>
              <w:rPr>
                <w:color w:val="000000"/>
              </w:rPr>
              <w:t xml:space="preserve"> diskutē par dzīves kvalitāti un tās dimensijām</w:t>
            </w:r>
          </w:p>
        </w:tc>
        <w:tc>
          <w:tcPr>
            <w:tcW w:w="3543" w:type="dxa"/>
          </w:tcPr>
          <w:p w:rsidR="005A5694" w:rsidRDefault="005A5694" w:rsidP="008E1FDC">
            <w:pPr>
              <w:jc w:val="center"/>
            </w:pPr>
          </w:p>
          <w:p w:rsidR="00306BCA" w:rsidRDefault="00480D8A" w:rsidP="00283DC1">
            <w:pPr>
              <w:jc w:val="center"/>
            </w:pPr>
            <w:r>
              <w:t>Starptautiskās konferences dalībnieki un apmeklētāji seko līdzi FORCAVI projekta inovācijas prezentācijai</w:t>
            </w:r>
          </w:p>
        </w:tc>
      </w:tr>
    </w:tbl>
    <w:p w:rsidR="00277A2B" w:rsidRDefault="00277A2B" w:rsidP="00A06CB2"/>
    <w:sectPr w:rsidR="00277A2B" w:rsidSect="00C567FE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EF2"/>
    <w:rsid w:val="00023D2B"/>
    <w:rsid w:val="0004653F"/>
    <w:rsid w:val="00073EC4"/>
    <w:rsid w:val="00191794"/>
    <w:rsid w:val="001F2528"/>
    <w:rsid w:val="00277A2B"/>
    <w:rsid w:val="00283DC1"/>
    <w:rsid w:val="00306BCA"/>
    <w:rsid w:val="00373265"/>
    <w:rsid w:val="0039368B"/>
    <w:rsid w:val="003C73AF"/>
    <w:rsid w:val="003E5107"/>
    <w:rsid w:val="00435E74"/>
    <w:rsid w:val="00480D8A"/>
    <w:rsid w:val="005A5694"/>
    <w:rsid w:val="005F3549"/>
    <w:rsid w:val="007A269B"/>
    <w:rsid w:val="007A5879"/>
    <w:rsid w:val="007D44D9"/>
    <w:rsid w:val="00804ED2"/>
    <w:rsid w:val="00836EF2"/>
    <w:rsid w:val="008E1FDC"/>
    <w:rsid w:val="00904E8E"/>
    <w:rsid w:val="009C5F4A"/>
    <w:rsid w:val="009E05DA"/>
    <w:rsid w:val="00A06CB2"/>
    <w:rsid w:val="00A2614F"/>
    <w:rsid w:val="00AC3D39"/>
    <w:rsid w:val="00AE1765"/>
    <w:rsid w:val="00AF4583"/>
    <w:rsid w:val="00B367AD"/>
    <w:rsid w:val="00B3695A"/>
    <w:rsid w:val="00C567FE"/>
    <w:rsid w:val="00CA2AB7"/>
    <w:rsid w:val="00CB0486"/>
    <w:rsid w:val="00D85C30"/>
    <w:rsid w:val="00E171DC"/>
    <w:rsid w:val="00E175BA"/>
    <w:rsid w:val="00E42FEE"/>
    <w:rsid w:val="00E8352F"/>
    <w:rsid w:val="00E92248"/>
    <w:rsid w:val="00F16FAF"/>
    <w:rsid w:val="00F17AD5"/>
    <w:rsid w:val="00F329F7"/>
    <w:rsid w:val="00F47205"/>
    <w:rsid w:val="00F87C81"/>
    <w:rsid w:val="00FB6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E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836EF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6E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6EF2"/>
    <w:rPr>
      <w:rFonts w:ascii="Tahoma" w:eastAsia="Times New Roman" w:hAnsi="Tahoma" w:cs="Tahoma"/>
      <w:sz w:val="16"/>
      <w:szCs w:val="16"/>
      <w:lang w:eastAsia="lv-LV"/>
    </w:rPr>
  </w:style>
  <w:style w:type="table" w:styleId="TableGrid">
    <w:name w:val="Table Grid"/>
    <w:basedOn w:val="TableNormal"/>
    <w:uiPriority w:val="59"/>
    <w:rsid w:val="00277A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480D8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E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836EF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6E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6EF2"/>
    <w:rPr>
      <w:rFonts w:ascii="Tahoma" w:eastAsia="Times New Roman" w:hAnsi="Tahoma" w:cs="Tahoma"/>
      <w:sz w:val="16"/>
      <w:szCs w:val="16"/>
      <w:lang w:eastAsia="lv-LV"/>
    </w:rPr>
  </w:style>
  <w:style w:type="table" w:styleId="TableGrid">
    <w:name w:val="Table Grid"/>
    <w:basedOn w:val="TableNormal"/>
    <w:uiPriority w:val="59"/>
    <w:rsid w:val="00277A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480D8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1225</Words>
  <Characters>699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SIC</Company>
  <LinksUpToDate>false</LinksUpToDate>
  <CharactersWithSpaces>1921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Installer</dc:creator>
  <cp:lastModifiedBy>Edgars Spengelis</cp:lastModifiedBy>
  <cp:revision>7</cp:revision>
  <cp:lastPrinted>2013-05-27T11:19:00Z</cp:lastPrinted>
  <dcterms:created xsi:type="dcterms:W3CDTF">2014-12-10T10:35:00Z</dcterms:created>
  <dcterms:modified xsi:type="dcterms:W3CDTF">2014-12-10T10:59:00Z</dcterms:modified>
</cp:coreProperties>
</file>